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1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1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транспортной системы Белоярского района»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1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tbl>
      <w:tblPr>
        <w:tblW w:w="15735" w:type="dxa"/>
        <w:tblInd w:w="-5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0"/>
        <w:gridCol w:w="10065"/>
      </w:tblGrid>
      <w:tr>
        <w:tblPrEx/>
        <w:trPr>
          <w:trHeight w:val="1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Белоя</w:t>
            </w:r>
            <w:r>
              <w:rPr>
                <w:rFonts w:ascii="Times New Roman" w:hAnsi="Times New Roman"/>
              </w:rPr>
              <w:t xml:space="preserve">рского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40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по транспорту и связи администрации Белоярского района (далее – УТиС)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2025-2030 годы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6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1 «Развитие совре</w:t>
            </w:r>
            <w:r>
              <w:rPr>
                <w:rFonts w:ascii="Times New Roman" w:hAnsi="Times New Roman"/>
              </w:rPr>
              <w:t xml:space="preserve">менной транспортной инфраструктуры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2 «Создание условий для обеспечения транспортного обслуживания населения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3 «Создание условий для обеспечения безопасности дорожного движения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6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</w:t>
            </w:r>
            <w:r>
              <w:rPr>
                <w:rFonts w:ascii="Times New Roman" w:hAnsi="Times New Roman"/>
              </w:rPr>
              <w:t xml:space="preserve">ления (подпрограммы)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«Развитие и совершенствование сети автомобильных дорог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«Организация транспортного обслуживания населения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«Повышение безопасности дорожного движения Белоярского </w:t>
            </w:r>
            <w:r>
              <w:rPr>
                <w:rFonts w:ascii="Times New Roman" w:hAnsi="Times New Roman"/>
              </w:rPr>
              <w:t xml:space="preserve">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1</w:t>
            </w:r>
            <w:r>
              <w:rPr>
                <w:rFonts w:ascii="Times New Roman" w:hAnsi="Times New Roman"/>
                <w:highlight w:val="white"/>
              </w:rPr>
              <w:t xml:space="preserve"> 773 303,9</w:t>
            </w:r>
            <w:r>
              <w:rPr>
                <w:rFonts w:ascii="Times New Roman" w:hAnsi="Times New Roman"/>
                <w:highlight w:val="white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 xml:space="preserve"> тысяч рублей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Комфортная и безопасная среда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для жизни / государственная программа Ханты-Мансийского автономного округа - Югры «Современная транспортная система»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47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735" w:type="dxa"/>
        <w:tblInd w:w="-5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5"/>
        <w:gridCol w:w="2248"/>
        <w:gridCol w:w="992"/>
        <w:gridCol w:w="992"/>
        <w:gridCol w:w="708"/>
        <w:gridCol w:w="851"/>
        <w:gridCol w:w="850"/>
        <w:gridCol w:w="851"/>
        <w:gridCol w:w="850"/>
        <w:gridCol w:w="851"/>
        <w:gridCol w:w="852"/>
        <w:gridCol w:w="2270"/>
        <w:gridCol w:w="1275"/>
        <w:gridCol w:w="1560"/>
      </w:tblGrid>
      <w:tr>
        <w:tblPrEx/>
        <w:trPr>
          <w:trHeight w:val="69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85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248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Единица измерения (по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ОКЕИ)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по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годам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2270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85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248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7"/>
          <w:tblHeader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Цель 1 "Развитие современной транспортной инфраструктуры Белоярского района"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Протяженность сети автомобильных дорог общего пользования местного значения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км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184,47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Решение Думы Белоярского района  от 29  октября 2014 года  № 484 «Об утверждении Стратегии социально-экономического раз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в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ития Белоярского района до 2036 года»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км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1,05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Постановление Правительства ХМАО-Югры от 30.1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.2021 года №636-п «О мерах по реализации государственной программы Ханты-Мансийского автономного округа - Югры «Современная транспортная система» 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Управление капитальноо строительства администрации Белоярского района (далее - УКС)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Прирост протяженно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км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Постановление Правительства ХМАО-Югры от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3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0.12.2021 года №636-п «О мерах по реализации государственной программы Ханты-Мансийского автономного округа - Югры «Современная транспортная система»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УКС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Прирост протяженности автомобильных дорог общего пользования местного значения, соответствующих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н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км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152,32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,6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2,7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0,81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Постановление Правительства ХМАО-Югры от 30.12.2021 года №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636-п «О мерах по реализаци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и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го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сударственной программы Ханты-Мансийского автономного округа - Югры «Современная транспортная система»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УКС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те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ля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м,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%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82,57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83,93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85,47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85,93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85,93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85,93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85,93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Постановление Правительства ХМАО-Югры от 10.11.2023 года №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559-п «О государственной программе Ханты-Мансийского автономно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го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круга - Югры «Современная транспортная система» 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увеличение к 2030 году доли соответсвующих нормативным требованиям автомобильных дорого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jc w:val="both"/>
              <w:spacing w:after="0" w:line="240" w:lineRule="auto"/>
              <w:rPr>
                <w:rFonts w:ascii="Times New Roman" w:hAnsi="Times New Roman" w:eastAsia="SimSu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оличество реал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изованных мероприятий план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а социального развития 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центров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 экономиче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ского роста 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ХМАО-Югры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, 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входящих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  <w:t xml:space="preserve"> в состав Арктической зоны Российской Федерации</w:t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SimSun"/>
                <w:sz w:val="20"/>
                <w:szCs w:val="20"/>
                <w:highlight w:val="white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един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Распоряжение Губернатора ХМАО-Югры от 25.12.2024 года №353-рг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«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О Плане социального развития це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н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тров экономического роста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Ханты-Мансийского автономного округа 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–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Югры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»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УКС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/>
              </w:rPr>
              <w:t xml:space="preserve">Цель 2 «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/>
              </w:rPr>
              <w:t xml:space="preserve">Создание условий для обеспечения транспортного обслуж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/>
              </w:rPr>
              <w:t xml:space="preserve">ивания населения Белоярского района»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Количес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тво рейсооборотов воздушного транспорта в год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115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Решение Думы Белоярского района  от 29  октября 2014 года  № 484 «Об утверждении Стратегии социально-экономического развити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я Белоярского района до 2036 года»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личество рейсов автомобильного транспорта в год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8835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Количество рейсооборотов водного транспорта в год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46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/>
              </w:rPr>
              <w:t xml:space="preserve">Цель 3 «Соз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/>
              </w:rPr>
              <w:t xml:space="preserve">дание услов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/>
              </w:rPr>
              <w:t xml:space="preserve">ий для обеспечения безопасности доро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/>
              </w:rPr>
              <w:t xml:space="preserve">жного движения Белоярского района»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Протяженность обслуживаемой улично-дорожной сети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м.п.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48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 300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restart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Решение Ду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мы Белоярского района  от 29  октября 2014 года  № 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84 «Об утверждении Стратегии социально-экономиче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ского развития Белоярского района до 2036 года»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Количество парковок и стоянок автотранспорта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35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Коли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чество дорожных знаков на улично-дорожной сети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665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1665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1685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1685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1685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1685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1685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Количество нанесенной дорожной разметки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Style w:val="865"/>
                <w:rFonts w:eastAsia="SimSun"/>
                <w:sz w:val="20"/>
                <w:szCs w:val="20"/>
                <w:lang w:val="en-US" w:eastAsia="zh-CN" w:bidi="ar"/>
              </w:rPr>
              <w:t xml:space="preserve">м</w:t>
            </w:r>
            <w:r>
              <w:rPr>
                <w:rStyle w:val="866"/>
                <w:rFonts w:eastAsia="SimSun"/>
                <w:sz w:val="20"/>
                <w:szCs w:val="20"/>
                <w:lang w:val="en-US" w:eastAsia="zh-CN" w:bidi="ar"/>
              </w:rPr>
              <w:t xml:space="preserve">²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8500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8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  <w:t xml:space="preserve">Количество светофорных объектов (групп светофоров) на улично-дорожной сети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штук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12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vMerge w:val="continue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УТи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С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47"/>
              <w:jc w:val="center"/>
              <w:spacing w:after="0" w:line="240" w:lineRule="auto"/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rFonts w:ascii="Times New Roman" w:hAnsi="Times New Roman" w:eastAsia="SimSun"/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</w:tbl>
    <w:p>
      <w:pPr>
        <w:pStyle w:val="847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847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Структура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900" w:type="dxa"/>
        <w:tblInd w:w="-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57" w:type="dxa"/>
          <w:right w:w="62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3876"/>
        <w:gridCol w:w="18"/>
        <w:gridCol w:w="4536"/>
        <w:gridCol w:w="67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876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55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76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1"/>
          <w:tblHeader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455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76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4"/>
            <w:tcW w:w="1519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Направлени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е (подпрограмма) «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Развитие и совершенствование сети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автомобильных дорог Белоярского ра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4"/>
            <w:tcW w:w="1519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 Региональный проект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Государственная поддержка реализации на территории Арктической зоны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 инвестиционных проектов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389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УКС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11297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Срок реализации: 2025-20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апиталь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ный ремонт и ремонт автомобильных дорог общего пользования местного значения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455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Р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еализации мероприятий план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а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социального развития це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н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тров экономического рос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та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Ханты-мансийского автономного округа-Югр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ы,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входящих в со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став Арктической зоны Российской Федерации.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676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оличество реализованных мероприятий плана социального развития центров экономического роста ХМАО-Югры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4"/>
            <w:tcW w:w="1519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Ком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плекс процессных мероприятий «Строительство (реконструкция), капитальный ремонт и ремонт автомобильных дорог общего пользования ме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стного значения»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389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УТиС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УКС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11297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.1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Строительство, реконструкция, капиталь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ный ремонт и ремонт автомобильных дорог общего пользования местного значения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455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протяженности сети дорог местного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значения, соответствующих нормативным требованиям к транспортно-экс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плуатационным показателям, в результате строительства, реконструкци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и, капитального ремонта и ремонта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761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Протяженность сети автомобильн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ых дорог общего пользования местного значения;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61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сети автомобильных дорог общего пользования местного значения в результате строительства новых автомобильных дорог;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61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автомобильных дорог общего пользования местного з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начения, соответствующих нормативным требования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 к транспортно-эксплуатационным показателям, в результате реконструкции автомобильных дорог;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61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ниям к транспортно-эксплуатационным показателям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в результате капитального ремонта и ремонта автомобильных дорог;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61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лям, в общей протяженности автомобильных дорог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общего пользования местного значения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1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W w:w="15191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Направление (подпрограмма) «Организация транспортного обслуживания населения Белоярского района»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W w:w="15191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процессных мероприятий «Создание условий для предоставле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ния транспортных услуг, организации транспортного обслуживания населения Белоярского района»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389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 УТиС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11297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876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Содействие организации регулярных п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еревозок пассажиров и багажа автомобильным (кроме такси),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воздушным и водным транспортом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4554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Созданы условия для обеспечения потребности населения в регулярных пассажирских перевозках автомобильным, воздушным, водным транспортом, в том числе за счет предоставл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ения субсидий  юридическим лицам, индивидуальным предприн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имателям, а также физическим лицам:</w:t>
              <w:br w:type="textWrapping" w:clear="all"/>
              <w:t xml:space="preserve">- оказывающим населению услуги по перевозке пассажиров и багажа воздушным транспортом между поселениями в границах Белоярского района;</w:t>
              <w:br w:type="textWrapping" w:clear="all"/>
              <w:t xml:space="preserve">- оказывающим населению услу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ги по перевозке пассажиров и багажа речным транспортом ме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жду поселениями в границах Белоярского района.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Обеспечено осуществление регулярных перевозок пассажиров и багажа автомобильным транспортом по муниципальным маршрутам по регулируемым тарифам.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847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но обслуживание посадочных площадок для вертолетов в сель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ских поселениях в границах Белоярского района.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</w:tc>
        <w:tc>
          <w:tcPr>
            <w:tcW w:w="6761" w:type="dxa"/>
            <w:vAlign w:val="top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Количество рейсооборотов воздушного транспорта в год</w:t>
              <w:br w:type="textWrapping" w:clear="all"/>
              <w:t xml:space="preserve">Количество рейсов автомобильного транспорта в год</w:t>
              <w:br w:type="textWrapping" w:clear="all"/>
              <w:t xml:space="preserve">Количество рейсооборотов водного транспорта в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W w:w="15191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Направление (подпрограмма) «Повышение безопасности д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орожного движения Белоярского района»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4"/>
            <w:tcW w:w="15191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«Создание условий для обеспечения безопасности дорожного движения»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6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3894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 УТиС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11297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61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876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Содействие в обеспечение безопасного дорож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ного движения на автомобильных дорогах общего пользования местного значения  в городе Белоярский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W w:w="4554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Обустройство и содержание автомобильных дорог общего пользования местного значения  в городе Белоярски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6761" w:type="dxa"/>
            <w:vAlign w:val="center"/>
            <w:textDirection w:val="lrTb"/>
            <w:noWrap w:val="false"/>
          </w:tcPr>
          <w:p>
            <w:pPr>
              <w:pStyle w:val="847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Протяженность обслуживаемой улично-дорожной сети;</w:t>
              <w:br w:type="textWrapping" w:clear="all"/>
              <w:t xml:space="preserve">Колич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ество парковок и стоянок автотранспорта;</w:t>
              <w:br w:type="textWrapping" w:clear="all"/>
              <w:t xml:space="preserve">Количество дорожных знаков на улично-дорожной сети;</w:t>
              <w:br w:type="textWrapping" w:clear="all"/>
              <w:t xml:space="preserve">Количество нанесенной дорожной разметки;</w:t>
              <w:br w:type="textWrapping" w:clear="all"/>
              <w:t xml:space="preserve">Количество светофорных объектов (групп светофоров) на улично-доро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жной сети.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47"/>
        <w:jc w:val="center"/>
        <w:pageBreakBefore/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Финансовое обеспечение муниципальной прогр</w:t>
      </w:r>
      <w:r>
        <w:rPr>
          <w:rFonts w:ascii="Times New Roman" w:hAnsi="Times New Roman"/>
          <w:sz w:val="24"/>
          <w:szCs w:val="24"/>
        </w:rPr>
        <w:t xml:space="preserve">аммы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7"/>
        <w:jc w:val="both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tbl>
      <w:tblPr>
        <w:tblStyle w:val="70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6020"/>
        <w:gridCol w:w="113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  <w:r/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3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  <w:r/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</w:rPr>
              <w:t xml:space="preserve">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«Развитие транспортной системы Белоярского района»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333 703,4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334 338,1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336 762,7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363 103,9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202 697,9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202 697,9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1 773 303,9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21 787,5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17 727,4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39 514,9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113 000,1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158 078,0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159 304,7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158 207,9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588 590,7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198 915,8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158 532,7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177 458,0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204 896,0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202 697,9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202 697,9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1 145 198,3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2 634,6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«Государственная поддержка реализации на территории Арктической зоны Российской Федерации инвестиционных проектов»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140 735,2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155 957,0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296 692,2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21 787,5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17 727,4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39 514,9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113 000,1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136 670,0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249 670,1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5 947,6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1 559,6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7 507,2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«Строительство (реконструкция), капитальный ремонт и ремонт автомобильных дорог общего пользования местного значения»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11 989,5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22 424,2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161 513,8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160 406,0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356 333,5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21 408,0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159 304,7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158 207,9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338 920,6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11 989,5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1 016,2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2 198,1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17 412,9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«Строительство (реконструкция) автомобильных дорог общего пользования местного значения»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2 070,4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2 070,4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2 070,4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2 070,4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«Капитальный ремонт автомобильных дорог общего пользования местного значения»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9 919,1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22 424,2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161 513,8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160 406,0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354 263,1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21 408,0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159 304,7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158 207,9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338 920,6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9 919,1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1 016,2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2 209,1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2 198,1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15 342,5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2.3.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«Ремонт автомобильных дорог общего пользования местного значения»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«Создание условий для предоставления транспортных услуг, организации транспортного обслуживания населения Белоярского района» 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100 991,8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89 334,3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603 712,9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100 991,8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89 334,3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113 346,7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603 712,9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«Организация регулярных перевозок пассажиров и багажа воздушным транспортом» (всего) 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55 481,5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36 048,2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301 772,1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55 481,5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36 048,2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60 060,6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301 772,1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«Организация регулярных перевозок пассажиров и багажа автомобильным транспортом»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31 517,2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223 487,2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31 517,2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38 394,0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223 487,2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3.3.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«Организация регулярных перевозок пассажиров и багажа водным транспортом» (всего), 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11 281,0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60 028,5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11 281,0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11 749,5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60 028,5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3.4.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«Содержание вертолетных площадок»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2 712,1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18 425,1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2 712,1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3 142,6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18 425,1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«Создание условий для обеспечения безопасности дорожного движения»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79 986,9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82 610,2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85 914,6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516 565,3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79 986,9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82 610,2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85 914,6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516 565,3</w:t>
            </w:r>
            <w:r/>
          </w:p>
        </w:tc>
      </w:tr>
      <w:tr>
        <w:tblPrEx/>
        <w:trPr>
          <w:trHeight w:val="36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«Содержание автомобильных дорог местного значения»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79 986,9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82 610,2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85 914,6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516 565,3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2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79 986,9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82 610,2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85 914,6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89 351,2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516 565,3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47"/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________________</w:t>
      </w:r>
      <w:r/>
      <w:r>
        <w:rPr>
          <w:rFonts w:ascii="Times New Roman" w:hAnsi="Times New Roman"/>
          <w:sz w:val="24"/>
          <w:szCs w:val="24"/>
        </w:rPr>
      </w:r>
    </w:p>
    <w:sectPr>
      <w:headerReference w:type="default" r:id="rId8"/>
      <w:footnotePr/>
      <w:endnotePr/>
      <w:type w:val="nextPage"/>
      <w:pgSz w:w="16838" w:h="11906" w:orient="landscape"/>
      <w:pgMar w:top="1134" w:right="1134" w:bottom="743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5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9">
    <w:name w:val="Heading 1"/>
    <w:basedOn w:val="847"/>
    <w:next w:val="847"/>
    <w:link w:val="6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0">
    <w:name w:val="Heading 1 Char"/>
    <w:link w:val="669"/>
    <w:uiPriority w:val="9"/>
    <w:rPr>
      <w:rFonts w:ascii="Arial" w:hAnsi="Arial" w:eastAsia="Arial" w:cs="Arial"/>
      <w:sz w:val="40"/>
      <w:szCs w:val="40"/>
    </w:rPr>
  </w:style>
  <w:style w:type="paragraph" w:styleId="671">
    <w:name w:val="Heading 2"/>
    <w:basedOn w:val="847"/>
    <w:next w:val="84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2">
    <w:name w:val="Heading 2 Char"/>
    <w:link w:val="671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7"/>
    <w:next w:val="847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7"/>
    <w:next w:val="847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7"/>
    <w:next w:val="847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7"/>
    <w:next w:val="847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7"/>
    <w:next w:val="847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7"/>
    <w:next w:val="847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7"/>
    <w:next w:val="847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847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7"/>
    <w:next w:val="847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link w:val="689"/>
    <w:uiPriority w:val="10"/>
    <w:rPr>
      <w:sz w:val="48"/>
      <w:szCs w:val="48"/>
    </w:rPr>
  </w:style>
  <w:style w:type="paragraph" w:styleId="691">
    <w:name w:val="Subtitle"/>
    <w:basedOn w:val="847"/>
    <w:next w:val="847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link w:val="691"/>
    <w:uiPriority w:val="11"/>
    <w:rPr>
      <w:sz w:val="24"/>
      <w:szCs w:val="24"/>
    </w:rPr>
  </w:style>
  <w:style w:type="paragraph" w:styleId="693">
    <w:name w:val="Quote"/>
    <w:basedOn w:val="847"/>
    <w:next w:val="847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7"/>
    <w:next w:val="847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paragraph" w:styleId="697">
    <w:name w:val="Header"/>
    <w:basedOn w:val="847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Header Char"/>
    <w:link w:val="697"/>
    <w:uiPriority w:val="99"/>
  </w:style>
  <w:style w:type="paragraph" w:styleId="699">
    <w:name w:val="Footer"/>
    <w:basedOn w:val="847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Footer Char"/>
    <w:link w:val="699"/>
    <w:uiPriority w:val="99"/>
  </w:style>
  <w:style w:type="paragraph" w:styleId="701">
    <w:name w:val="Caption"/>
    <w:basedOn w:val="847"/>
    <w:next w:val="847"/>
    <w:link w:val="7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link w:val="701"/>
    <w:uiPriority w:val="35"/>
    <w:rPr>
      <w:b/>
      <w:bCs/>
      <w:color w:val="4f81bd" w:themeColor="accent1"/>
      <w:sz w:val="18"/>
      <w:szCs w:val="18"/>
    </w:rPr>
  </w:style>
  <w:style w:type="table" w:styleId="70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next w:val="847"/>
    <w:link w:val="847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848">
    <w:name w:val="Заголовок 1"/>
    <w:basedOn w:val="847"/>
    <w:next w:val="847"/>
    <w:link w:val="847"/>
    <w:qFormat/>
    <w:pPr>
      <w:jc w:val="center"/>
      <w:keepNext/>
      <w:outlineLvl w:val="0"/>
    </w:pPr>
    <w:rPr>
      <w:b/>
      <w:sz w:val="28"/>
    </w:rPr>
  </w:style>
  <w:style w:type="paragraph" w:styleId="849">
    <w:name w:val="Заголовок 2"/>
    <w:basedOn w:val="847"/>
    <w:next w:val="847"/>
    <w:link w:val="847"/>
    <w:qFormat/>
    <w:pPr>
      <w:jc w:val="center"/>
      <w:keepNext/>
      <w:outlineLvl w:val="1"/>
    </w:pPr>
    <w:rPr>
      <w:b/>
      <w:sz w:val="24"/>
    </w:rPr>
  </w:style>
  <w:style w:type="paragraph" w:styleId="850">
    <w:name w:val="Заголовок 3"/>
    <w:basedOn w:val="847"/>
    <w:next w:val="847"/>
    <w:link w:val="847"/>
    <w:qFormat/>
    <w:pPr>
      <w:jc w:val="center"/>
      <w:keepNext/>
      <w:outlineLvl w:val="2"/>
    </w:pPr>
    <w:rPr>
      <w:sz w:val="28"/>
    </w:rPr>
  </w:style>
  <w:style w:type="character" w:styleId="851">
    <w:name w:val="Основной шрифт абзаца"/>
    <w:next w:val="851"/>
    <w:link w:val="847"/>
    <w:uiPriority w:val="1"/>
    <w:semiHidden/>
    <w:unhideWhenUsed/>
  </w:style>
  <w:style w:type="table" w:styleId="852">
    <w:name w:val="Обычная таблица"/>
    <w:next w:val="852"/>
    <w:link w:val="847"/>
    <w:uiPriority w:val="99"/>
    <w:semiHidden/>
    <w:unhideWhenUsed/>
    <w:tblPr/>
  </w:style>
  <w:style w:type="numbering" w:styleId="853">
    <w:name w:val="Нет списка"/>
    <w:next w:val="853"/>
    <w:link w:val="847"/>
    <w:uiPriority w:val="99"/>
    <w:semiHidden/>
    <w:unhideWhenUsed/>
  </w:style>
  <w:style w:type="character" w:styleId="854">
    <w:name w:val="Знак сноски"/>
    <w:next w:val="854"/>
    <w:link w:val="847"/>
    <w:uiPriority w:val="99"/>
    <w:unhideWhenUsed/>
    <w:rPr>
      <w:vertAlign w:val="superscript"/>
    </w:rPr>
  </w:style>
  <w:style w:type="paragraph" w:styleId="855">
    <w:name w:val="Текст выноски"/>
    <w:basedOn w:val="847"/>
    <w:next w:val="855"/>
    <w:link w:val="86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6">
    <w:name w:val="Основной текст с отступом 3"/>
    <w:basedOn w:val="847"/>
    <w:next w:val="856"/>
    <w:link w:val="847"/>
    <w:qFormat/>
    <w:pPr>
      <w:jc w:val="center"/>
    </w:pPr>
    <w:rPr>
      <w:sz w:val="24"/>
    </w:rPr>
  </w:style>
  <w:style w:type="paragraph" w:styleId="857">
    <w:name w:val="Текст концевой сноски"/>
    <w:basedOn w:val="847"/>
    <w:next w:val="857"/>
    <w:link w:val="863"/>
    <w:uiPriority w:val="99"/>
    <w:unhideWhenUsed/>
    <w:pPr>
      <w:spacing w:after="0" w:line="240" w:lineRule="auto"/>
    </w:pPr>
    <w:rPr>
      <w:sz w:val="20"/>
      <w:szCs w:val="20"/>
    </w:rPr>
  </w:style>
  <w:style w:type="paragraph" w:styleId="858">
    <w:name w:val="Текст сноски"/>
    <w:basedOn w:val="847"/>
    <w:next w:val="858"/>
    <w:link w:val="864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859">
    <w:name w:val="Верхний колонтитул"/>
    <w:basedOn w:val="847"/>
    <w:next w:val="859"/>
    <w:link w:val="86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0">
    <w:name w:val="Нижний колонтитул"/>
    <w:basedOn w:val="847"/>
    <w:next w:val="860"/>
    <w:link w:val="869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1">
    <w:name w:val="ConsPlusNormal"/>
    <w:next w:val="861"/>
    <w:link w:val="847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62">
    <w:name w:val="ConsPlusNonformat"/>
    <w:next w:val="862"/>
    <w:link w:val="847"/>
    <w:qFormat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63">
    <w:name w:val="Текст концевой сноски Знак"/>
    <w:next w:val="863"/>
    <w:link w:val="857"/>
    <w:uiPriority w:val="99"/>
    <w:qFormat/>
    <w:rPr>
      <w:rFonts w:ascii="Calibri" w:hAnsi="Calibri" w:eastAsia="Calibri" w:cs="Times New Roman"/>
      <w:sz w:val="20"/>
      <w:szCs w:val="20"/>
    </w:rPr>
  </w:style>
  <w:style w:type="character" w:styleId="864">
    <w:name w:val="Текст сноски Знак"/>
    <w:next w:val="864"/>
    <w:link w:val="858"/>
    <w:uiPriority w:val="99"/>
    <w:qFormat/>
    <w:rPr>
      <w:rFonts w:ascii="Calibri" w:hAnsi="Calibri" w:eastAsia="Calibri" w:cs="Times New Roman"/>
      <w:sz w:val="20"/>
      <w:szCs w:val="20"/>
    </w:rPr>
  </w:style>
  <w:style w:type="character" w:styleId="865">
    <w:name w:val="font11"/>
    <w:next w:val="865"/>
    <w:link w:val="847"/>
    <w:rPr>
      <w:rFonts w:ascii="Times New Roman" w:hAnsi="Times New Roman" w:cs="Times New Roman"/>
      <w:color w:val="000000"/>
      <w:u w:val="none"/>
    </w:rPr>
  </w:style>
  <w:style w:type="character" w:styleId="866">
    <w:name w:val="font31"/>
    <w:next w:val="866"/>
    <w:link w:val="847"/>
    <w:rPr>
      <w:rFonts w:ascii="Calibri" w:hAnsi="Calibri" w:cs="Calibri"/>
      <w:color w:val="000000"/>
      <w:u w:val="none"/>
    </w:rPr>
  </w:style>
  <w:style w:type="character" w:styleId="867">
    <w:name w:val="Текст выноски Знак"/>
    <w:next w:val="867"/>
    <w:link w:val="855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character" w:styleId="868">
    <w:name w:val="Верхний колонтитул Знак"/>
    <w:next w:val="868"/>
    <w:link w:val="859"/>
    <w:uiPriority w:val="99"/>
    <w:qFormat/>
    <w:rPr>
      <w:rFonts w:ascii="Calibri" w:hAnsi="Calibri" w:eastAsia="Calibri"/>
      <w:sz w:val="22"/>
      <w:szCs w:val="22"/>
      <w:lang w:eastAsia="en-US"/>
    </w:rPr>
  </w:style>
  <w:style w:type="character" w:styleId="869">
    <w:name w:val="Нижний колонтитул Знак"/>
    <w:next w:val="869"/>
    <w:link w:val="860"/>
    <w:uiPriority w:val="99"/>
    <w:qFormat/>
    <w:rPr>
      <w:rFonts w:ascii="Calibri" w:hAnsi="Calibri" w:eastAsia="Calibri"/>
      <w:sz w:val="22"/>
      <w:szCs w:val="22"/>
      <w:lang w:eastAsia="en-US"/>
    </w:rPr>
  </w:style>
  <w:style w:type="character" w:styleId="870">
    <w:name w:val="Знак примечания"/>
    <w:next w:val="870"/>
    <w:link w:val="847"/>
    <w:uiPriority w:val="99"/>
    <w:semiHidden/>
    <w:unhideWhenUsed/>
    <w:rPr>
      <w:sz w:val="16"/>
      <w:szCs w:val="16"/>
    </w:rPr>
  </w:style>
  <w:style w:type="paragraph" w:styleId="871">
    <w:name w:val="Текст примечания"/>
    <w:basedOn w:val="847"/>
    <w:next w:val="871"/>
    <w:link w:val="872"/>
    <w:uiPriority w:val="99"/>
    <w:semiHidden/>
    <w:unhideWhenUsed/>
    <w:rPr>
      <w:sz w:val="20"/>
      <w:szCs w:val="20"/>
    </w:rPr>
  </w:style>
  <w:style w:type="character" w:styleId="872">
    <w:name w:val="Текст примечания Знак"/>
    <w:next w:val="872"/>
    <w:link w:val="871"/>
    <w:uiPriority w:val="99"/>
    <w:semiHidden/>
    <w:rPr>
      <w:rFonts w:ascii="Calibri" w:hAnsi="Calibri" w:eastAsia="Calibri"/>
      <w:lang w:eastAsia="en-US"/>
    </w:rPr>
  </w:style>
  <w:style w:type="paragraph" w:styleId="873">
    <w:name w:val="Тема примечания"/>
    <w:basedOn w:val="871"/>
    <w:next w:val="871"/>
    <w:link w:val="874"/>
    <w:uiPriority w:val="99"/>
    <w:semiHidden/>
    <w:unhideWhenUsed/>
    <w:rPr>
      <w:b/>
      <w:bCs/>
    </w:rPr>
  </w:style>
  <w:style w:type="character" w:styleId="874">
    <w:name w:val="Тема примечания Знак"/>
    <w:next w:val="874"/>
    <w:link w:val="873"/>
    <w:uiPriority w:val="99"/>
    <w:semiHidden/>
    <w:rPr>
      <w:rFonts w:ascii="Calibri" w:hAnsi="Calibri" w:eastAsia="Calibri"/>
      <w:b/>
      <w:bCs/>
      <w:lang w:eastAsia="en-US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Morgunova</dc:creator>
  <cp:lastModifiedBy>BordunAO</cp:lastModifiedBy>
  <cp:revision>4</cp:revision>
  <dcterms:created xsi:type="dcterms:W3CDTF">2025-10-15T04:46:00Z</dcterms:created>
  <dcterms:modified xsi:type="dcterms:W3CDTF">2025-10-27T05:45:13Z</dcterms:modified>
  <cp:version>1048576</cp:version>
</cp:coreProperties>
</file>